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88" w:type="dxa"/>
        <w:jc w:val="start"/>
        <w:tblInd w:w="-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66"/>
        <w:gridCol w:w="6422"/>
      </w:tblGrid>
      <w:tr>
        <w:trPr/>
        <w:tc>
          <w:tcPr>
            <w:tcW w:w="8166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22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 №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1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муниципальной программе муниципального образования Северский муниципальный район Краснодарского края «Управление муниципальными финансами»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ЦЕЛИ, ЗАДАЧИ И ЦЕЛЕВЫЕ ПОКАЗАТЕЛИ МУНИЦИПАЛЬНОЙ ПРОГРАММЫ</w:t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«Управление муниципальными финансами»</w:t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666" w:type="dxa"/>
        <w:jc w:val="start"/>
        <w:tblInd w:w="-63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43"/>
        <w:gridCol w:w="6887"/>
        <w:gridCol w:w="1185"/>
        <w:gridCol w:w="1365"/>
        <w:gridCol w:w="1410"/>
        <w:gridCol w:w="1425"/>
        <w:gridCol w:w="1451"/>
      </w:tblGrid>
      <w:tr>
        <w:trPr>
          <w:trHeight w:val="416" w:hRule="atLeast"/>
        </w:trPr>
        <w:tc>
          <w:tcPr>
            <w:tcW w:w="943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688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Наименование </w:t>
            </w:r>
          </w:p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целевого показателя </w:t>
            </w:r>
          </w:p>
        </w:tc>
        <w:tc>
          <w:tcPr>
            <w:tcW w:w="1185" w:type="dxa"/>
            <w:vMerge w:val="restart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Ед. изм. (по ОКЕИ)</w:t>
            </w:r>
          </w:p>
        </w:tc>
        <w:tc>
          <w:tcPr>
            <w:tcW w:w="5651" w:type="dxa"/>
            <w:gridSpan w:val="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Значение показателей</w:t>
            </w:r>
          </w:p>
        </w:tc>
      </w:tr>
      <w:tr>
        <w:trPr/>
        <w:tc>
          <w:tcPr>
            <w:tcW w:w="943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688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185" w:type="dxa"/>
            <w:vMerge w:val="continue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2025(1)</w:t>
            </w:r>
          </w:p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2028</w:t>
            </w:r>
          </w:p>
        </w:tc>
        <w:tc>
          <w:tcPr>
            <w:tcW w:w="14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2029</w:t>
            </w:r>
          </w:p>
        </w:tc>
      </w:tr>
      <w:tr>
        <w:trPr/>
        <w:tc>
          <w:tcPr>
            <w:tcW w:w="9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8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4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</w:tr>
      <w:tr>
        <w:trPr/>
        <w:tc>
          <w:tcPr>
            <w:tcW w:w="14666" w:type="dxa"/>
            <w:gridSpan w:val="7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Муниципальная программа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 «Управление муниципальными финансами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</w:tr>
      <w:tr>
        <w:trPr/>
        <w:tc>
          <w:tcPr>
            <w:tcW w:w="14666" w:type="dxa"/>
            <w:gridSpan w:val="7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Цель: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  <w:t>Обеспечение долгосрочной сбалансированности и устойчивости бюджета муниципального образования Северский муниципальный район Краснодарского края, эффективное управление муниципальным долгом</w:t>
            </w:r>
          </w:p>
        </w:tc>
      </w:tr>
      <w:tr>
        <w:trPr/>
        <w:tc>
          <w:tcPr>
            <w:tcW w:w="14666" w:type="dxa"/>
            <w:gridSpan w:val="7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Задача: 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  <w:t xml:space="preserve">обеспечение  долгосрочной сбалансированности и устойчивости бюджета муниципального образования Северский муниципальный район Краснодарского края  </w:t>
            </w:r>
          </w:p>
          <w:p>
            <w:pPr>
              <w:pStyle w:val="Style16"/>
              <w:bidi w:val="0"/>
              <w:jc w:val="star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/>
              </w:rPr>
              <w:t>- эффективное управление муниципальным долгом;</w:t>
            </w:r>
          </w:p>
        </w:tc>
      </w:tr>
      <w:tr>
        <w:trPr>
          <w:trHeight w:val="351" w:hRule="atLeast"/>
        </w:trPr>
        <w:tc>
          <w:tcPr>
            <w:tcW w:w="943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</w:t>
            </w:r>
          </w:p>
        </w:tc>
        <w:tc>
          <w:tcPr>
            <w:tcW w:w="6887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Сбалансированность бюджетов поселений муниципального образования Северский муниципальный район Краснодарского края</w:t>
            </w:r>
          </w:p>
        </w:tc>
        <w:tc>
          <w:tcPr>
            <w:tcW w:w="1185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%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100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100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100</w:t>
            </w:r>
          </w:p>
        </w:tc>
        <w:tc>
          <w:tcPr>
            <w:tcW w:w="1451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100</w:t>
            </w:r>
          </w:p>
        </w:tc>
      </w:tr>
      <w:tr>
        <w:trPr>
          <w:trHeight w:val="351" w:hRule="atLeast"/>
        </w:trPr>
        <w:tc>
          <w:tcPr>
            <w:tcW w:w="9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</w:t>
            </w:r>
          </w:p>
        </w:tc>
        <w:tc>
          <w:tcPr>
            <w:tcW w:w="688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Доля расходов на обслуживание муниципального долга в общем объеме расходов бюджета (за исключением расходов, осуществляемых за счет субвенций из бюджетов вышестоящих уровней)</w:t>
            </w:r>
          </w:p>
        </w:tc>
        <w:tc>
          <w:tcPr>
            <w:tcW w:w="11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%</w:t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0,002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0,002</w:t>
            </w:r>
          </w:p>
        </w:tc>
        <w:tc>
          <w:tcPr>
            <w:tcW w:w="14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0,002</w:t>
            </w:r>
          </w:p>
        </w:tc>
      </w:tr>
      <w:tr>
        <w:trPr/>
        <w:tc>
          <w:tcPr>
            <w:tcW w:w="9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</w:t>
            </w:r>
          </w:p>
        </w:tc>
        <w:tc>
          <w:tcPr>
            <w:tcW w:w="688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bidi w:val="0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  <w:t>Отношение объема муниципального долга к годовому об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  <w:t>ъ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  <w:t>ему доходов бюджета без учета утвержденного объема безвозмездных поступлений из бюджетов других уровней бюджетов и поступлений налоговых доходов по дополнительным нормативам отчислений</w:t>
            </w:r>
          </w:p>
          <w:p>
            <w:pPr>
              <w:pStyle w:val="Normal"/>
              <w:widowControl/>
              <w:suppressAutoHyphens w:val="false"/>
              <w:autoSpaceDE w:val="false"/>
              <w:bidi w:val="0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shd w:fill="auto" w:val="clear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</w:r>
          </w:p>
        </w:tc>
        <w:tc>
          <w:tcPr>
            <w:tcW w:w="11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%</w:t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10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10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10</w:t>
            </w:r>
          </w:p>
        </w:tc>
        <w:tc>
          <w:tcPr>
            <w:tcW w:w="14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не более 10</w:t>
            </w:r>
          </w:p>
        </w:tc>
      </w:tr>
      <w:tr>
        <w:trPr/>
        <w:tc>
          <w:tcPr>
            <w:tcW w:w="9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88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4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ОКЕИ – общероссийский классификатор единиц измерения.</w:t>
      </w:r>
    </w:p>
    <w:p>
      <w:pPr>
        <w:pStyle w:val="Normal"/>
        <w:widowControl/>
        <w:suppressAutoHyphens w:val="false"/>
        <w:autoSpaceDE w:val="false"/>
        <w:bidi w:val="0"/>
        <w:jc w:val="both"/>
        <w:rPr>
          <w:rFonts w:ascii="Times New Roman" w:hAnsi="Times New Roman" w:eastAsia="Times New Roman"/>
          <w:kern w:val="0"/>
          <w:sz w:val="28"/>
          <w:szCs w:val="28"/>
          <w:lang w:val="ru-RU" w:eastAsia="ru-RU"/>
        </w:rPr>
      </w:pPr>
      <w:r>
        <w:rPr>
          <w:rFonts w:eastAsia="Times New Roman" w:ascii="Times New Roman" w:hAnsi="Times New Roman"/>
          <w:kern w:val="0"/>
          <w:sz w:val="28"/>
          <w:szCs w:val="28"/>
          <w:lang w:val="ru-RU" w:eastAsia="ru-RU"/>
        </w:rPr>
        <w:t>(1) Год, предшествующий году утверждения муниципальной программы.</w:t>
      </w:r>
      <w:r>
        <mc:AlternateContent>
          <mc:Choice Requires="wps">
            <w:drawing>
              <wp:anchor behindDoc="0" distT="72390" distB="72390" distL="72390" distR="72390" simplePos="0" locked="0" layoutInCell="0" allowOverlap="1" relativeHeight="2">
                <wp:simplePos x="0" y="0"/>
                <wp:positionH relativeFrom="column">
                  <wp:posOffset>9337675</wp:posOffset>
                </wp:positionH>
                <wp:positionV relativeFrom="paragraph">
                  <wp:posOffset>51435</wp:posOffset>
                </wp:positionV>
                <wp:extent cx="633730" cy="75311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730" cy="75311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17"/>
                              <w:bidi w:val="0"/>
                              <w:jc w:val="start"/>
                              <w:rPr>
                                <w:eastAsianLayout w:vert="true"/>
                              </w:rPr>
                            </w:pPr>
                            <w:r>
                              <w:rPr>
                                <w:eastAsianLayout w:vert="true"/>
                              </w:rPr>
                              <w:t>2</w:t>
                            </w:r>
                          </w:p>
                        </w:txbxContent>
                      </wps:txbx>
                      <wps:bodyPr anchor="t" lIns="53975" tIns="53975" rIns="53975" bIns="539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49.9pt;height:59.3pt;mso-wrap-distance-left:5.7pt;mso-wrap-distance-right:5.7pt;mso-wrap-distance-top:5.7pt;mso-wrap-distance-bottom:5.7pt;margin-top:4.05pt;mso-position-vertical-relative:text;margin-left:735.25pt;mso-position-horizontal-relative:text">
                <v:textbox inset="0.0590277777777778in,0.0590277777777778in,0.0590277777777778in,0.0590277777777778in">
                  <w:txbxContent>
                    <w:p>
                      <w:pPr>
                        <w:pStyle w:val="Style17"/>
                        <w:bidi w:val="0"/>
                        <w:jc w:val="start"/>
                        <w:rPr>
                          <w:eastAsianLayout w:vert="true"/>
                        </w:rPr>
                      </w:pPr>
                      <w:r>
                        <w:rPr>
                          <w:eastAsianLayout w:vert="true"/>
                        </w:rPr>
                        <w:t>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bidi w:val="0"/>
        <w:jc w:val="start"/>
        <w:rPr>
          <w:rFonts w:ascii="Times New Roman" w:hAnsi="Times New Roman" w:eastAsia="Times New Roman"/>
          <w:kern w:val="0"/>
          <w:sz w:val="28"/>
          <w:szCs w:val="28"/>
          <w:lang w:val="ru-RU" w:eastAsia="ru-RU"/>
        </w:rPr>
      </w:pPr>
      <w:r>
        <w:rPr>
          <w:rFonts w:eastAsia="Times New Roman" w:ascii="Times New Roman" w:hAnsi="Times New Roman"/>
          <w:kern w:val="0"/>
          <w:sz w:val="28"/>
          <w:szCs w:val="28"/>
          <w:lang w:val="ru-RU" w:eastAsia="ru-RU"/>
        </w:rPr>
      </w:r>
    </w:p>
    <w:p>
      <w:pPr>
        <w:pStyle w:val="Normal"/>
        <w:bidi w:val="0"/>
        <w:jc w:val="start"/>
        <w:rPr>
          <w:rFonts w:ascii="Times New Roman" w:hAnsi="Times New Roman" w:eastAsia="Times New Roman"/>
          <w:kern w:val="0"/>
          <w:sz w:val="28"/>
          <w:szCs w:val="28"/>
          <w:lang w:val="ru-RU" w:eastAsia="ru-RU"/>
        </w:rPr>
      </w:pPr>
      <w:r>
        <w:rPr>
          <w:rFonts w:eastAsia="Times New Roman" w:ascii="Times New Roman" w:hAnsi="Times New Roman"/>
          <w:kern w:val="0"/>
          <w:sz w:val="28"/>
          <w:szCs w:val="28"/>
          <w:lang w:val="ru-RU" w:eastAsia="ru-RU"/>
        </w:rPr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>
        <w:rPr>
          <w:rFonts w:ascii="Times New Roman" w:hAnsi="Times New Roman"/>
          <w:sz w:val="28"/>
          <w:szCs w:val="28"/>
          <w:lang w:val="ru-RU"/>
        </w:rPr>
        <w:t>главы администрации</w:t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(начальник финансового управления)                                                                                                                         К.В.Леуцкая</w:t>
      </w:r>
    </w:p>
    <w:sectPr>
      <w:type w:val="nextPage"/>
      <w:pgSz w:orient="landscape" w:w="16838" w:h="11906"/>
      <w:pgMar w:left="1134" w:right="1134" w:gutter="0" w:header="0" w:top="964" w:footer="0" w:bottom="90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suppressLineNumbers/>
    </w:pPr>
    <w:rPr/>
  </w:style>
  <w:style w:type="paragraph" w:styleId="Style17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LibreOffice/25.2.6.2$Linux_X86_64 LibreOffice_project/520$Build-2</Application>
  <AppVersion>15.0000</AppVersion>
  <Pages>2</Pages>
  <Words>201</Words>
  <Characters>1474</Characters>
  <CharactersWithSpaces>1780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2026-08-03T14:46:18Z</dcterms:created>
  <dc:creator/>
  <dc:description/>
  <dc:language>ru-RU</dc:language>
  <cp:lastModifiedBy/>
  <dcterms:modified xsi:type="dcterms:W3CDTF">2026-08-24T14:51:29Z</dcterms:modified>
  <cp:revision>4</cp:revision>
  <dc:subject/>
  <dc:title/>
</cp:coreProperties>
</file>